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75" w:rsidRDefault="00E05875">
      <w:pPr>
        <w:rPr>
          <w:noProof/>
          <w:lang w:eastAsia="es-DO"/>
        </w:rPr>
      </w:pPr>
    </w:p>
    <w:p w:rsidR="00E05875" w:rsidRDefault="00E05875">
      <w:pPr>
        <w:rPr>
          <w:noProof/>
          <w:lang w:eastAsia="es-DO"/>
        </w:rPr>
      </w:pPr>
    </w:p>
    <w:p w:rsidR="00E05875" w:rsidRDefault="00E05875">
      <w:pPr>
        <w:rPr>
          <w:noProof/>
          <w:lang w:eastAsia="es-DO"/>
        </w:rPr>
      </w:pPr>
    </w:p>
    <w:p w:rsidR="00E05875" w:rsidRDefault="00E05875">
      <w:pPr>
        <w:rPr>
          <w:noProof/>
          <w:lang w:eastAsia="es-DO"/>
        </w:rPr>
      </w:pPr>
    </w:p>
    <w:p w:rsidR="00301BC6" w:rsidRDefault="00E05875" w:rsidP="005365FF">
      <w:pPr>
        <w:jc w:val="center"/>
      </w:pPr>
      <w:r>
        <w:rPr>
          <w:noProof/>
          <w:lang w:eastAsia="es-DO"/>
        </w:rPr>
        <w:drawing>
          <wp:inline distT="0" distB="0" distL="0" distR="0" wp14:anchorId="532A0853" wp14:editId="0E8E493A">
            <wp:extent cx="5601242" cy="3171825"/>
            <wp:effectExtent l="0" t="0" r="0" b="0"/>
            <wp:docPr id="1" name="Imagen 1" descr="C:\Users\Pamela.Alcantara\AppData\Local\Microsoft\Windows\Temporary Internet Files\Content.Outlook\JWUROGZH\Sin títu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lcantara\AppData\Local\Microsoft\Windows\Temporary Internet Files\Content.Outlook\JWUROGZH\Sin título-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3177990"/>
                    </a:xfrm>
                    <a:prstGeom prst="rect">
                      <a:avLst/>
                    </a:prstGeom>
                    <a:noFill/>
                    <a:ln>
                      <a:noFill/>
                    </a:ln>
                  </pic:spPr>
                </pic:pic>
              </a:graphicData>
            </a:graphic>
          </wp:inline>
        </w:drawing>
      </w:r>
    </w:p>
    <w:p w:rsidR="00E05875" w:rsidRDefault="00E05875"/>
    <w:p w:rsidR="00E05875" w:rsidRDefault="00E05875">
      <w:r>
        <w:t xml:space="preserve"> </w:t>
      </w:r>
    </w:p>
    <w:tbl>
      <w:tblPr>
        <w:tblStyle w:val="Sombreadoclaro-nfasis1"/>
        <w:tblW w:w="9322" w:type="dxa"/>
        <w:jc w:val="center"/>
        <w:tblLook w:val="0000" w:firstRow="0" w:lastRow="0" w:firstColumn="0" w:lastColumn="0" w:noHBand="0" w:noVBand="0"/>
      </w:tblPr>
      <w:tblGrid>
        <w:gridCol w:w="9322"/>
      </w:tblGrid>
      <w:tr w:rsidR="00E05875" w:rsidTr="005365FF">
        <w:trPr>
          <w:cnfStyle w:val="000000100000" w:firstRow="0" w:lastRow="0" w:firstColumn="0" w:lastColumn="0" w:oddVBand="0" w:evenVBand="0" w:oddHBand="1" w:evenHBand="0" w:firstRowFirstColumn="0" w:firstRowLastColumn="0" w:lastRowFirstColumn="0" w:lastRowLastColumn="0"/>
          <w:trHeight w:val="975"/>
          <w:jc w:val="center"/>
        </w:trPr>
        <w:tc>
          <w:tcPr>
            <w:cnfStyle w:val="000010000000" w:firstRow="0" w:lastRow="0" w:firstColumn="0" w:lastColumn="0" w:oddVBand="1" w:evenVBand="0" w:oddHBand="0" w:evenHBand="0" w:firstRowFirstColumn="0" w:firstRowLastColumn="0" w:lastRowFirstColumn="0" w:lastRowLastColumn="0"/>
            <w:tcW w:w="9322" w:type="dxa"/>
          </w:tcPr>
          <w:p w:rsidR="003E2B7D" w:rsidRDefault="003E2B7D" w:rsidP="003E2B7D">
            <w:pPr>
              <w:spacing w:after="200" w:line="276" w:lineRule="auto"/>
              <w:jc w:val="center"/>
              <w:rPr>
                <w:sz w:val="36"/>
              </w:rPr>
            </w:pPr>
            <w:r>
              <w:rPr>
                <w:sz w:val="36"/>
              </w:rPr>
              <w:t>BOLET</w:t>
            </w:r>
            <w:r w:rsidRPr="003E2B7D">
              <w:rPr>
                <w:sz w:val="36"/>
              </w:rPr>
              <w:t>Í</w:t>
            </w:r>
            <w:r>
              <w:rPr>
                <w:sz w:val="36"/>
              </w:rPr>
              <w:t>N INFORMATIVO ESTAD</w:t>
            </w:r>
            <w:r w:rsidRPr="003E2B7D">
              <w:rPr>
                <w:sz w:val="36"/>
              </w:rPr>
              <w:t>Í</w:t>
            </w:r>
            <w:r>
              <w:rPr>
                <w:sz w:val="36"/>
              </w:rPr>
              <w:t>STICO</w:t>
            </w:r>
          </w:p>
          <w:p w:rsidR="00E05875" w:rsidRDefault="002374B1" w:rsidP="003E2B7D">
            <w:pPr>
              <w:spacing w:after="200" w:line="276" w:lineRule="auto"/>
              <w:jc w:val="center"/>
              <w:rPr>
                <w:sz w:val="36"/>
              </w:rPr>
            </w:pPr>
            <w:r>
              <w:rPr>
                <w:sz w:val="36"/>
              </w:rPr>
              <w:t xml:space="preserve"> Enero-</w:t>
            </w:r>
            <w:r w:rsidR="00BA2380">
              <w:rPr>
                <w:sz w:val="36"/>
              </w:rPr>
              <w:t xml:space="preserve">Octubre </w:t>
            </w:r>
            <w:r w:rsidR="003E2B7D">
              <w:rPr>
                <w:sz w:val="36"/>
              </w:rPr>
              <w:t xml:space="preserve"> 2017</w:t>
            </w:r>
          </w:p>
        </w:tc>
      </w:tr>
    </w:tbl>
    <w:p w:rsidR="00E05875" w:rsidRDefault="00E05875"/>
    <w:p w:rsidR="00E05875" w:rsidRDefault="00E05875"/>
    <w:p w:rsidR="00E05875" w:rsidRDefault="00E05875"/>
    <w:p w:rsidR="00E05875" w:rsidRDefault="00E05875"/>
    <w:p w:rsidR="003E2B7D" w:rsidRDefault="003E2B7D"/>
    <w:p w:rsidR="003E2B7D" w:rsidRDefault="003E2B7D"/>
    <w:p w:rsidR="003E2B7D" w:rsidRDefault="003E2B7D"/>
    <w:p w:rsidR="003E2B7D" w:rsidRDefault="003E2B7D"/>
    <w:p w:rsidR="00E05875" w:rsidRDefault="00E05875"/>
    <w:p w:rsidR="003E2B7D" w:rsidRDefault="003E2B7D"/>
    <w:p w:rsidR="003E2B7D" w:rsidRDefault="003E2B7D" w:rsidP="003E2B7D">
      <w:pPr>
        <w:spacing w:line="0" w:lineRule="atLeast"/>
        <w:rPr>
          <w:rFonts w:ascii="Arial" w:eastAsia="Arial" w:hAnsi="Arial"/>
          <w:b/>
          <w:color w:val="042487"/>
          <w:sz w:val="24"/>
        </w:rPr>
      </w:pPr>
      <w:r>
        <w:rPr>
          <w:rFonts w:ascii="Arial" w:eastAsia="Arial" w:hAnsi="Arial"/>
          <w:b/>
          <w:color w:val="042487"/>
          <w:sz w:val="24"/>
        </w:rPr>
        <w:t>INFORMACIÓN INSTITUCIONAL</w:t>
      </w:r>
    </w:p>
    <w:p w:rsidR="003E2B7D" w:rsidRDefault="003E2B7D" w:rsidP="003E2B7D">
      <w:pPr>
        <w:spacing w:line="0" w:lineRule="atLeast"/>
        <w:ind w:left="280"/>
        <w:rPr>
          <w:rFonts w:ascii="Arial" w:eastAsia="Arial" w:hAnsi="Arial"/>
          <w:b/>
          <w:sz w:val="24"/>
        </w:rPr>
      </w:pPr>
    </w:p>
    <w:p w:rsidR="003E2B7D" w:rsidRPr="003E2B7D" w:rsidRDefault="003E2B7D" w:rsidP="003E2B7D">
      <w:pPr>
        <w:spacing w:line="0" w:lineRule="atLeast"/>
        <w:ind w:left="280"/>
        <w:rPr>
          <w:rFonts w:ascii="Arial" w:eastAsia="Arial" w:hAnsi="Arial"/>
          <w:b/>
          <w:sz w:val="24"/>
        </w:rPr>
      </w:pPr>
      <w:r>
        <w:rPr>
          <w:rFonts w:ascii="Arial" w:eastAsia="Arial" w:hAnsi="Arial"/>
          <w:b/>
          <w:sz w:val="24"/>
        </w:rPr>
        <w:t>ANTECEDENTES:</w:t>
      </w:r>
    </w:p>
    <w:p w:rsidR="003E2B7D" w:rsidRPr="003E2B7D" w:rsidRDefault="003E2B7D" w:rsidP="003E2B7D">
      <w:pPr>
        <w:spacing w:line="250" w:lineRule="auto"/>
        <w:ind w:left="280"/>
        <w:jc w:val="both"/>
        <w:rPr>
          <w:rFonts w:ascii="Arial" w:eastAsia="Arial" w:hAnsi="Arial"/>
          <w:sz w:val="24"/>
        </w:rPr>
      </w:pPr>
      <w:r>
        <w:rPr>
          <w:rFonts w:ascii="Arial" w:eastAsia="Arial" w:hAnsi="Arial"/>
          <w:sz w:val="24"/>
        </w:rPr>
        <w:t>El origen del Plan de Asistencia Social de la Presidencia de la República (PASP) se remonta al Instituto Nacional de Estabilización de Precios (INESPRE), el cual, hasta el 6 de Febrero del año 1989, era el organismo responsable de llevar a cabo las actividades sociales, específicamente el reparto de alimentos crudos entre las clases más necesitadas del país. Ese mismo año mediante Decreto No.54-89, de fecha 7 de Febrero, se crea el Departamento de Asistencia Social adscrito al Poder Ejecutivo, para asumir estas funciones.</w:t>
      </w:r>
    </w:p>
    <w:p w:rsidR="003E2B7D" w:rsidRDefault="003E2B7D" w:rsidP="003E2B7D">
      <w:pPr>
        <w:spacing w:line="251" w:lineRule="auto"/>
        <w:ind w:left="280"/>
        <w:jc w:val="both"/>
        <w:rPr>
          <w:rFonts w:ascii="Arial" w:eastAsia="Arial" w:hAnsi="Arial"/>
          <w:sz w:val="24"/>
        </w:rPr>
      </w:pPr>
      <w:r>
        <w:rPr>
          <w:rFonts w:ascii="Arial" w:eastAsia="Arial" w:hAnsi="Arial"/>
          <w:sz w:val="24"/>
        </w:rPr>
        <w:t>Además de sus programas de asistencia alimentaria y de otras ayudas, ofrece servicios de salud, gestionados desde la sede principal en Santo Domingo. La organización cuenta con 24 oficinas en las diferentes provincias del país, siendo éstas responsables de recibir solicitudes y materializar las respuestas que, procesadas desde el nivel central, deben llegar a cada rincón de la República.</w:t>
      </w:r>
    </w:p>
    <w:p w:rsidR="003E2B7D" w:rsidRDefault="003E2B7D" w:rsidP="003E2B7D">
      <w:pPr>
        <w:spacing w:line="368" w:lineRule="exact"/>
        <w:rPr>
          <w:rFonts w:ascii="Times New Roman" w:eastAsia="Times New Roman" w:hAnsi="Times New Roman"/>
        </w:rPr>
      </w:pPr>
    </w:p>
    <w:p w:rsidR="003E2B7D" w:rsidRPr="003E2B7D" w:rsidRDefault="003E2B7D" w:rsidP="003E2B7D">
      <w:pPr>
        <w:spacing w:line="0" w:lineRule="atLeast"/>
        <w:ind w:left="280"/>
        <w:rPr>
          <w:rFonts w:ascii="Arial" w:eastAsia="Arial" w:hAnsi="Arial"/>
          <w:b/>
          <w:sz w:val="24"/>
        </w:rPr>
      </w:pPr>
      <w:r>
        <w:rPr>
          <w:rFonts w:ascii="Arial" w:eastAsia="Arial" w:hAnsi="Arial"/>
          <w:b/>
          <w:sz w:val="24"/>
        </w:rPr>
        <w:t xml:space="preserve"> MARCO LEGAL:</w:t>
      </w:r>
    </w:p>
    <w:p w:rsidR="003E2B7D" w:rsidRPr="003E2B7D" w:rsidRDefault="003E2B7D" w:rsidP="003E2B7D">
      <w:pPr>
        <w:spacing w:line="251" w:lineRule="auto"/>
        <w:ind w:left="280"/>
        <w:jc w:val="both"/>
        <w:rPr>
          <w:rFonts w:ascii="Arial" w:eastAsia="Arial" w:hAnsi="Arial"/>
          <w:sz w:val="24"/>
        </w:rPr>
      </w:pPr>
      <w:r>
        <w:rPr>
          <w:rFonts w:ascii="Arial" w:eastAsia="Arial" w:hAnsi="Arial"/>
          <w:sz w:val="24"/>
        </w:rPr>
        <w:t>El Plan de Asistencia Social de la Presidencia es legalmente sustentado, inicialmente por el Decreto No.54-89, de fecha 7 de Febrero que crea el Departamento de Asistencia Social adscrito al Poder Ejecutivo con el objetivo de que asuma la responsabilidad por las actividades sociales que estaban anteriormente asignadas al Instituto de Estabilización de Precios (INESPRE), consistentes en el “reparto de canastas de alimentos entre las clases necesitadas”.</w:t>
      </w:r>
    </w:p>
    <w:p w:rsidR="003E2B7D" w:rsidRPr="003E2B7D" w:rsidRDefault="003E2B7D" w:rsidP="003E2B7D">
      <w:pPr>
        <w:spacing w:line="251" w:lineRule="auto"/>
        <w:ind w:left="280"/>
        <w:jc w:val="both"/>
        <w:rPr>
          <w:rFonts w:ascii="Arial" w:eastAsia="Arial" w:hAnsi="Arial"/>
          <w:sz w:val="24"/>
        </w:rPr>
      </w:pPr>
      <w:r>
        <w:rPr>
          <w:rFonts w:ascii="Arial" w:eastAsia="Arial" w:hAnsi="Arial"/>
          <w:sz w:val="24"/>
        </w:rPr>
        <w:t>Durante el periodo 2000-2004, se denominó Plan Presidencial Contra la Pobreza, retomando el 21 de Marzo del año 2005, mediante el Decreto No. 179-05, su nombre original Plan de Asistencia Social de la Presidencia.</w:t>
      </w:r>
    </w:p>
    <w:p w:rsidR="003E2B7D" w:rsidRDefault="003E2B7D" w:rsidP="003E2B7D">
      <w:pPr>
        <w:spacing w:line="251" w:lineRule="auto"/>
        <w:ind w:left="280"/>
        <w:jc w:val="both"/>
        <w:rPr>
          <w:rFonts w:ascii="Arial" w:eastAsia="Arial" w:hAnsi="Arial"/>
          <w:sz w:val="24"/>
        </w:rPr>
      </w:pPr>
      <w:r>
        <w:rPr>
          <w:rFonts w:ascii="Arial" w:eastAsia="Arial" w:hAnsi="Arial"/>
          <w:sz w:val="24"/>
        </w:rPr>
        <w:t>A partir del primer Decreto, el Plan de Asistencia Social de la Presidencia comienza a trabajar orientada al propósito para el cual fue creado, asistiendo a la población más vulnerable en su necesidad primaria, que es la alimentación, clave para el mantenimiento de un buen estado de salud y bienestar físico, que a su vez les prepare para la búsqueda de la satisfacción de otras necesidades menos prioritarias.</w:t>
      </w: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Pr="003E2B7D" w:rsidRDefault="003E2B7D" w:rsidP="003E2B7D">
      <w:pPr>
        <w:spacing w:line="0" w:lineRule="atLeast"/>
        <w:jc w:val="center"/>
        <w:rPr>
          <w:rFonts w:ascii="Arial" w:eastAsia="Arial" w:hAnsi="Arial"/>
          <w:color w:val="002060"/>
          <w:sz w:val="24"/>
          <w:u w:val="single"/>
        </w:rPr>
      </w:pPr>
      <w:r>
        <w:rPr>
          <w:rFonts w:ascii="Arial" w:eastAsia="Arial" w:hAnsi="Arial"/>
          <w:color w:val="002060"/>
          <w:sz w:val="24"/>
          <w:u w:val="single"/>
        </w:rPr>
        <w:t>MISIÓN</w:t>
      </w:r>
    </w:p>
    <w:p w:rsidR="003E2B7D" w:rsidRDefault="003E2B7D" w:rsidP="003E2B7D">
      <w:pPr>
        <w:spacing w:line="251" w:lineRule="auto"/>
        <w:jc w:val="both"/>
        <w:rPr>
          <w:rFonts w:ascii="Arial" w:eastAsia="Arial" w:hAnsi="Arial"/>
          <w:sz w:val="24"/>
        </w:rPr>
      </w:pPr>
      <w:r>
        <w:rPr>
          <w:rFonts w:ascii="Arial" w:eastAsia="Arial" w:hAnsi="Arial"/>
          <w:sz w:val="24"/>
        </w:rPr>
        <w:t>“Somos una institución</w:t>
      </w:r>
      <w:r w:rsidR="00BA2380">
        <w:rPr>
          <w:rFonts w:ascii="Arial" w:eastAsia="Arial" w:hAnsi="Arial"/>
          <w:sz w:val="24"/>
        </w:rPr>
        <w:t xml:space="preserve"> </w:t>
      </w:r>
      <w:r>
        <w:rPr>
          <w:rFonts w:ascii="Arial" w:eastAsia="Arial" w:hAnsi="Arial"/>
          <w:sz w:val="24"/>
        </w:rPr>
        <w:t>dedicada a asistir oportunamente y con calidad a personas vulnerables a nivel nacional, a través de la provisión gratuita de alimentos, servicios de salud, techo y educación, para mejorar sus condiciones de vida, amortiguando los efectos derivados de la pobreza extrema”.</w:t>
      </w:r>
    </w:p>
    <w:p w:rsidR="003E2B7D" w:rsidRDefault="003E2B7D" w:rsidP="003E2B7D">
      <w:pPr>
        <w:spacing w:line="251" w:lineRule="auto"/>
        <w:jc w:val="both"/>
        <w:rPr>
          <w:rFonts w:ascii="Arial" w:eastAsia="Arial" w:hAnsi="Arial"/>
          <w:sz w:val="24"/>
        </w:rPr>
      </w:pPr>
    </w:p>
    <w:p w:rsidR="003E2B7D" w:rsidRPr="003E2B7D" w:rsidRDefault="003E2B7D" w:rsidP="003E2B7D">
      <w:pPr>
        <w:spacing w:line="251" w:lineRule="auto"/>
        <w:jc w:val="both"/>
        <w:rPr>
          <w:rFonts w:ascii="Arial" w:eastAsia="Arial" w:hAnsi="Arial"/>
          <w:sz w:val="24"/>
        </w:rPr>
      </w:pPr>
    </w:p>
    <w:p w:rsidR="003E2B7D" w:rsidRPr="003E2B7D" w:rsidRDefault="003E2B7D" w:rsidP="003E2B7D">
      <w:pPr>
        <w:spacing w:line="0" w:lineRule="atLeast"/>
        <w:jc w:val="center"/>
        <w:rPr>
          <w:rFonts w:ascii="Arial" w:eastAsia="Arial" w:hAnsi="Arial"/>
          <w:color w:val="002060"/>
          <w:sz w:val="24"/>
          <w:u w:val="single"/>
        </w:rPr>
      </w:pPr>
      <w:r>
        <w:rPr>
          <w:rFonts w:ascii="Arial" w:eastAsia="Arial" w:hAnsi="Arial"/>
          <w:color w:val="002060"/>
          <w:sz w:val="24"/>
          <w:u w:val="single"/>
        </w:rPr>
        <w:t>VISIÓN</w:t>
      </w:r>
    </w:p>
    <w:p w:rsidR="003E2B7D" w:rsidRPr="003E2B7D" w:rsidRDefault="003E2B7D" w:rsidP="003E2B7D">
      <w:pPr>
        <w:spacing w:line="252" w:lineRule="auto"/>
        <w:jc w:val="both"/>
        <w:rPr>
          <w:rFonts w:ascii="Arial" w:eastAsia="Arial" w:hAnsi="Arial"/>
          <w:sz w:val="24"/>
        </w:rPr>
      </w:pPr>
      <w:r>
        <w:rPr>
          <w:rFonts w:ascii="Arial" w:eastAsia="Arial" w:hAnsi="Arial"/>
          <w:sz w:val="24"/>
        </w:rPr>
        <w:t>“Ser modelo de eficiencia y calidad en los procesos de gestión y distribución de ayudas a la población en condiciones de vulnerabilidad”</w:t>
      </w: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rPr>
          <w:rFonts w:ascii="Arial" w:eastAsia="Arial" w:hAnsi="Arial"/>
          <w:color w:val="002060"/>
          <w:sz w:val="24"/>
          <w:u w:val="single"/>
        </w:rPr>
      </w:pPr>
    </w:p>
    <w:p w:rsidR="003E2B7D" w:rsidRDefault="003E2B7D" w:rsidP="003E2B7D">
      <w:pPr>
        <w:spacing w:line="0" w:lineRule="atLeast"/>
        <w:rPr>
          <w:rFonts w:ascii="Arial" w:eastAsia="Arial" w:hAnsi="Arial"/>
          <w:color w:val="002060"/>
          <w:sz w:val="24"/>
          <w:u w:val="single"/>
        </w:rPr>
      </w:pPr>
    </w:p>
    <w:p w:rsidR="00AD10BE" w:rsidRPr="00AD10BE" w:rsidRDefault="003E2B7D" w:rsidP="00AD10BE">
      <w:pPr>
        <w:spacing w:line="0" w:lineRule="atLeast"/>
        <w:jc w:val="center"/>
        <w:rPr>
          <w:rFonts w:ascii="Arial" w:eastAsia="Arial" w:hAnsi="Arial"/>
          <w:color w:val="002060"/>
          <w:sz w:val="24"/>
          <w:u w:val="single"/>
        </w:rPr>
      </w:pPr>
      <w:r>
        <w:rPr>
          <w:rFonts w:ascii="Arial" w:eastAsia="Arial" w:hAnsi="Arial"/>
          <w:color w:val="002060"/>
          <w:sz w:val="24"/>
          <w:u w:val="single"/>
        </w:rPr>
        <w:lastRenderedPageBreak/>
        <w:t>VALORES</w:t>
      </w:r>
    </w:p>
    <w:p w:rsidR="00AD10BE" w:rsidRDefault="00AD10BE" w:rsidP="00AD10BE">
      <w:pPr>
        <w:jc w:val="center"/>
        <w:rPr>
          <w:rFonts w:eastAsia="Times New Roman" w:cstheme="minorHAnsi"/>
          <w:b/>
          <w:sz w:val="24"/>
          <w:szCs w:val="24"/>
        </w:rPr>
      </w:pPr>
    </w:p>
    <w:p w:rsidR="00AD10BE" w:rsidRPr="00AD10BE" w:rsidRDefault="00AD10BE" w:rsidP="00AD10BE">
      <w:pPr>
        <w:jc w:val="center"/>
        <w:rPr>
          <w:rFonts w:eastAsia="Times New Roman" w:cstheme="minorHAnsi"/>
          <w:b/>
          <w:sz w:val="24"/>
          <w:szCs w:val="24"/>
        </w:rPr>
      </w:pPr>
    </w:p>
    <w:p w:rsidR="00AD10BE" w:rsidRPr="00AD10BE" w:rsidRDefault="00AD10BE" w:rsidP="00AD10BE">
      <w:pPr>
        <w:jc w:val="center"/>
        <w:rPr>
          <w:rFonts w:eastAsia="Times New Roman" w:cstheme="minorHAnsi"/>
          <w:b/>
          <w:sz w:val="24"/>
          <w:szCs w:val="24"/>
        </w:rPr>
      </w:pPr>
      <w:r w:rsidRPr="00AD10BE">
        <w:rPr>
          <w:rFonts w:eastAsia="Times New Roman" w:cstheme="minorHAnsi"/>
          <w:b/>
          <w:sz w:val="24"/>
          <w:szCs w:val="24"/>
        </w:rPr>
        <w:t>Vocación de Servicios</w:t>
      </w:r>
    </w:p>
    <w:p w:rsidR="00AD10BE" w:rsidRPr="00AD10BE" w:rsidRDefault="00AD10BE" w:rsidP="00AD10BE">
      <w:pPr>
        <w:jc w:val="center"/>
        <w:rPr>
          <w:rFonts w:eastAsia="Times New Roman" w:cstheme="minorHAnsi"/>
          <w:b/>
          <w:sz w:val="24"/>
          <w:szCs w:val="24"/>
        </w:rPr>
      </w:pPr>
    </w:p>
    <w:p w:rsidR="00AD10BE" w:rsidRPr="00AD10BE" w:rsidRDefault="00AD10BE" w:rsidP="00AD10BE">
      <w:pPr>
        <w:jc w:val="center"/>
        <w:rPr>
          <w:rFonts w:cstheme="minorHAnsi"/>
          <w:b/>
          <w:sz w:val="24"/>
          <w:szCs w:val="24"/>
        </w:rPr>
      </w:pPr>
      <w:r w:rsidRPr="00AD10BE">
        <w:rPr>
          <w:rFonts w:cstheme="minorHAnsi"/>
          <w:b/>
          <w:sz w:val="24"/>
          <w:szCs w:val="24"/>
        </w:rPr>
        <w:t>Responsabilidad</w:t>
      </w:r>
    </w:p>
    <w:p w:rsidR="00AD10BE" w:rsidRPr="00AD10BE" w:rsidRDefault="00AD10BE" w:rsidP="00AD10BE">
      <w:pPr>
        <w:jc w:val="center"/>
        <w:rPr>
          <w:rFonts w:cstheme="minorHAnsi"/>
          <w:b/>
          <w:sz w:val="24"/>
          <w:szCs w:val="24"/>
        </w:rPr>
      </w:pPr>
    </w:p>
    <w:p w:rsidR="00AD10BE" w:rsidRPr="00AD10BE" w:rsidRDefault="00AD10BE" w:rsidP="00AD10BE">
      <w:pPr>
        <w:jc w:val="center"/>
        <w:rPr>
          <w:rFonts w:cstheme="minorHAnsi"/>
          <w:b/>
          <w:sz w:val="24"/>
          <w:szCs w:val="24"/>
        </w:rPr>
      </w:pPr>
      <w:r w:rsidRPr="00AD10BE">
        <w:rPr>
          <w:rFonts w:cstheme="minorHAnsi"/>
          <w:b/>
          <w:sz w:val="24"/>
          <w:szCs w:val="24"/>
        </w:rPr>
        <w:t>Transparencia</w:t>
      </w:r>
    </w:p>
    <w:p w:rsidR="00AD10BE" w:rsidRPr="00AD10BE" w:rsidRDefault="00AD10BE" w:rsidP="00AD10BE">
      <w:pPr>
        <w:jc w:val="center"/>
        <w:rPr>
          <w:rFonts w:cstheme="minorHAnsi"/>
          <w:b/>
          <w:sz w:val="24"/>
          <w:szCs w:val="24"/>
        </w:rPr>
      </w:pPr>
    </w:p>
    <w:p w:rsidR="00AD10BE" w:rsidRPr="00AD10BE" w:rsidRDefault="00AD10BE" w:rsidP="00AD10BE">
      <w:pPr>
        <w:jc w:val="center"/>
        <w:rPr>
          <w:rFonts w:cstheme="minorHAnsi"/>
          <w:b/>
          <w:sz w:val="24"/>
          <w:szCs w:val="24"/>
        </w:rPr>
      </w:pPr>
      <w:r w:rsidRPr="00AD10BE">
        <w:rPr>
          <w:rFonts w:cstheme="minorHAnsi"/>
          <w:b/>
          <w:sz w:val="24"/>
          <w:szCs w:val="24"/>
        </w:rPr>
        <w:t>Trabajo en Equipo</w:t>
      </w:r>
    </w:p>
    <w:p w:rsidR="00AD10BE" w:rsidRPr="00AD10BE" w:rsidRDefault="00AD10BE" w:rsidP="00AD10BE">
      <w:pPr>
        <w:jc w:val="center"/>
        <w:rPr>
          <w:rFonts w:cstheme="minorHAnsi"/>
          <w:b/>
          <w:sz w:val="24"/>
          <w:szCs w:val="24"/>
        </w:rPr>
      </w:pPr>
    </w:p>
    <w:p w:rsidR="00AD10BE" w:rsidRPr="00AD10BE" w:rsidRDefault="00AD10BE" w:rsidP="00AD10BE">
      <w:pPr>
        <w:jc w:val="center"/>
        <w:rPr>
          <w:rFonts w:cstheme="minorHAnsi"/>
          <w:b/>
          <w:sz w:val="24"/>
          <w:szCs w:val="24"/>
        </w:rPr>
      </w:pPr>
      <w:r w:rsidRPr="00AD10BE">
        <w:rPr>
          <w:rFonts w:cstheme="minorHAnsi"/>
          <w:b/>
          <w:sz w:val="24"/>
          <w:szCs w:val="24"/>
        </w:rPr>
        <w:t>Sensibilidad  Social</w:t>
      </w:r>
    </w:p>
    <w:p w:rsidR="00AD10BE" w:rsidRPr="00AD10BE" w:rsidRDefault="00AD10BE" w:rsidP="00AD10BE">
      <w:pPr>
        <w:jc w:val="center"/>
        <w:rPr>
          <w:rFonts w:eastAsia="Times New Roman" w:cstheme="minorHAnsi"/>
          <w:sz w:val="24"/>
          <w:szCs w:val="24"/>
        </w:rPr>
        <w:sectPr w:rsidR="00AD10BE" w:rsidRPr="00AD10BE" w:rsidSect="003E2B7D">
          <w:headerReference w:type="default" r:id="rId10"/>
          <w:pgSz w:w="12240" w:h="15840"/>
          <w:pgMar w:top="1276" w:right="720" w:bottom="0" w:left="720" w:header="0" w:footer="0" w:gutter="0"/>
          <w:cols w:space="0" w:equalWidth="0">
            <w:col w:w="10800"/>
          </w:cols>
          <w:docGrid w:linePitch="360"/>
        </w:sectPr>
      </w:pPr>
    </w:p>
    <w:p w:rsidR="00AB2D31" w:rsidRDefault="00AB2D31" w:rsidP="003E2B7D">
      <w:pPr>
        <w:spacing w:line="200" w:lineRule="exact"/>
        <w:rPr>
          <w:rFonts w:ascii="Times New Roman" w:eastAsia="Times New Roman" w:hAnsi="Times New Roman"/>
        </w:rPr>
      </w:pPr>
      <w:r w:rsidRPr="00AB2D31">
        <w:rPr>
          <w:rFonts w:ascii="Times New Roman" w:eastAsia="Times New Roman" w:hAnsi="Times New Roman"/>
          <w:b/>
          <w:sz w:val="32"/>
        </w:rPr>
        <w:lastRenderedPageBreak/>
        <w:t>Sede central y oficinas regionales</w:t>
      </w:r>
      <w:r w:rsidRPr="00AB2D31">
        <w:rPr>
          <w:rFonts w:ascii="Times New Roman" w:eastAsia="Times New Roman" w:hAnsi="Times New Roman"/>
          <w:b/>
          <w:sz w:val="32"/>
        </w:rPr>
        <w:br/>
      </w:r>
      <w:r w:rsidRPr="00AB2D31">
        <w:rPr>
          <w:rFonts w:ascii="Times New Roman" w:eastAsia="Times New Roman" w:hAnsi="Times New Roman"/>
        </w:rPr>
        <w:t> </w:t>
      </w:r>
      <w:r w:rsidRPr="00AB2D31">
        <w:rPr>
          <w:rFonts w:ascii="Times New Roman" w:eastAsia="Times New Roman" w:hAnsi="Times New Roman"/>
        </w:rPr>
        <w:br/>
      </w:r>
    </w:p>
    <w:p w:rsidR="003E2B7D" w:rsidRDefault="00AB2D31" w:rsidP="003E2B7D">
      <w:pPr>
        <w:spacing w:line="200" w:lineRule="exact"/>
        <w:rPr>
          <w:rFonts w:ascii="Times New Roman" w:eastAsia="Times New Roman" w:hAnsi="Times New Roman"/>
        </w:rPr>
      </w:pPr>
      <w:r w:rsidRPr="00AB2D31">
        <w:rPr>
          <w:rFonts w:ascii="Times New Roman" w:eastAsia="Times New Roman" w:hAnsi="Times New Roman"/>
        </w:rPr>
        <w:t>La oficina central está ubicada en santo domingo, con oficinas re</w:t>
      </w:r>
      <w:r w:rsidR="00430EB1">
        <w:rPr>
          <w:rFonts w:ascii="Times New Roman" w:eastAsia="Times New Roman" w:hAnsi="Times New Roman"/>
        </w:rPr>
        <w:t>gionales en Azua, Barahona, La V</w:t>
      </w:r>
      <w:r w:rsidRPr="00AB2D31">
        <w:rPr>
          <w:rFonts w:ascii="Times New Roman" w:eastAsia="Times New Roman" w:hAnsi="Times New Roman"/>
        </w:rPr>
        <w:t xml:space="preserve">ega, Monseñor </w:t>
      </w:r>
      <w:proofErr w:type="spellStart"/>
      <w:r w:rsidRPr="00AB2D31">
        <w:rPr>
          <w:rFonts w:ascii="Times New Roman" w:eastAsia="Times New Roman" w:hAnsi="Times New Roman"/>
        </w:rPr>
        <w:t>Nouel</w:t>
      </w:r>
      <w:proofErr w:type="spellEnd"/>
      <w:r w:rsidRPr="00AB2D31">
        <w:rPr>
          <w:rFonts w:ascii="Times New Roman" w:eastAsia="Times New Roman" w:hAnsi="Times New Roman"/>
        </w:rPr>
        <w:t xml:space="preserve">, </w:t>
      </w:r>
      <w:proofErr w:type="spellStart"/>
      <w:r w:rsidRPr="00AB2D31">
        <w:rPr>
          <w:rFonts w:ascii="Times New Roman" w:eastAsia="Times New Roman" w:hAnsi="Times New Roman"/>
        </w:rPr>
        <w:t>Peravia</w:t>
      </w:r>
      <w:proofErr w:type="spellEnd"/>
      <w:r w:rsidRPr="00AB2D31">
        <w:rPr>
          <w:rFonts w:ascii="Times New Roman" w:eastAsia="Times New Roman" w:hAnsi="Times New Roman"/>
        </w:rPr>
        <w:t xml:space="preserve">, San Juan de la Maguana, </w:t>
      </w:r>
      <w:proofErr w:type="spellStart"/>
      <w:r w:rsidRPr="00AB2D31">
        <w:rPr>
          <w:rFonts w:ascii="Times New Roman" w:eastAsia="Times New Roman" w:hAnsi="Times New Roman"/>
        </w:rPr>
        <w:t>Bahoruco</w:t>
      </w:r>
      <w:proofErr w:type="spellEnd"/>
      <w:r w:rsidRPr="00AB2D31">
        <w:rPr>
          <w:rFonts w:ascii="Times New Roman" w:eastAsia="Times New Roman" w:hAnsi="Times New Roman"/>
        </w:rPr>
        <w:t xml:space="preserve">, Elías Piña, Santiago de los Caballeros, </w:t>
      </w:r>
      <w:proofErr w:type="spellStart"/>
      <w:r w:rsidRPr="00AB2D31">
        <w:rPr>
          <w:rFonts w:ascii="Times New Roman" w:eastAsia="Times New Roman" w:hAnsi="Times New Roman"/>
        </w:rPr>
        <w:t>Dajabón</w:t>
      </w:r>
      <w:proofErr w:type="spellEnd"/>
      <w:r w:rsidRPr="00AB2D31">
        <w:rPr>
          <w:rFonts w:ascii="Times New Roman" w:eastAsia="Times New Roman" w:hAnsi="Times New Roman"/>
        </w:rPr>
        <w:t xml:space="preserve">, Monte Cristi, Puerto Plata, Valverde Mao, Espaillat, Duarte, María Trinidad Sánchez, Monte Plata, San Pedro de Macorís,  el </w:t>
      </w:r>
      <w:proofErr w:type="spellStart"/>
      <w:r w:rsidRPr="00AB2D31">
        <w:rPr>
          <w:rFonts w:ascii="Times New Roman" w:eastAsia="Times New Roman" w:hAnsi="Times New Roman"/>
        </w:rPr>
        <w:t>Seibo</w:t>
      </w:r>
      <w:proofErr w:type="spellEnd"/>
      <w:r w:rsidRPr="00AB2D31">
        <w:rPr>
          <w:rFonts w:ascii="Times New Roman" w:eastAsia="Times New Roman" w:hAnsi="Times New Roman"/>
        </w:rPr>
        <w:t>, La Altagracia, Independencia, Pedernales, Samaná y Boca Chica.</w:t>
      </w:r>
    </w:p>
    <w:p w:rsidR="00AB2D31" w:rsidRDefault="00AB2D31" w:rsidP="003E2B7D">
      <w:pPr>
        <w:spacing w:line="200" w:lineRule="exact"/>
        <w:rPr>
          <w:rFonts w:ascii="Times New Roman" w:eastAsia="Times New Roman" w:hAnsi="Times New Roman"/>
        </w:rPr>
      </w:pPr>
    </w:p>
    <w:p w:rsidR="00AB2D31" w:rsidRDefault="00AB2D31" w:rsidP="003E2B7D">
      <w:pPr>
        <w:spacing w:line="200" w:lineRule="exact"/>
        <w:rPr>
          <w:rFonts w:ascii="Times New Roman" w:eastAsia="Times New Roman" w:hAnsi="Times New Roman"/>
        </w:rPr>
      </w:pPr>
    </w:p>
    <w:p w:rsidR="003E2B7D" w:rsidRDefault="003E2B7D" w:rsidP="003E2B7D">
      <w:pPr>
        <w:spacing w:line="200" w:lineRule="exact"/>
        <w:rPr>
          <w:rFonts w:ascii="Times New Roman" w:eastAsia="Times New Roman" w:hAnsi="Times New Roman"/>
        </w:rPr>
      </w:pPr>
    </w:p>
    <w:p w:rsidR="003E2B7D" w:rsidRDefault="003E2B7D" w:rsidP="003E2B7D">
      <w:pPr>
        <w:spacing w:line="200" w:lineRule="exact"/>
        <w:rPr>
          <w:rFonts w:ascii="Times New Roman" w:eastAsia="Times New Roman" w:hAnsi="Times New Roman"/>
        </w:rPr>
      </w:pPr>
    </w:p>
    <w:p w:rsidR="003E2B7D" w:rsidRDefault="00AB2D31">
      <w:r>
        <w:rPr>
          <w:noProof/>
          <w:lang w:eastAsia="es-DO"/>
        </w:rPr>
        <w:drawing>
          <wp:inline distT="0" distB="0" distL="0" distR="0" wp14:anchorId="3DD65AEE" wp14:editId="636B43A3">
            <wp:extent cx="5612130" cy="3486150"/>
            <wp:effectExtent l="0" t="0" r="7620" b="0"/>
            <wp:docPr id="2" name="Imagen 4" descr="http://www.pasp.gob.do/site/Portals/0/Pics%20Notice/2014/Febrero/03-02-14/Mapa%20Ofic.%20Provincias2.png"/>
            <wp:cNvGraphicFramePr/>
            <a:graphic xmlns:a="http://schemas.openxmlformats.org/drawingml/2006/main">
              <a:graphicData uri="http://schemas.openxmlformats.org/drawingml/2006/picture">
                <pic:pic xmlns:pic="http://schemas.openxmlformats.org/drawingml/2006/picture">
                  <pic:nvPicPr>
                    <pic:cNvPr id="5" name="Imagen 4" descr="http://www.pasp.gob.do/site/Portals/0/Pics%20Notice/2014/Febrero/03-02-14/Mapa%20Ofic.%20Provincias2.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486150"/>
                    </a:xfrm>
                    <a:prstGeom prst="rect">
                      <a:avLst/>
                    </a:prstGeom>
                    <a:noFill/>
                    <a:ln>
                      <a:noFill/>
                    </a:ln>
                  </pic:spPr>
                </pic:pic>
              </a:graphicData>
            </a:graphic>
          </wp:inline>
        </w:drawing>
      </w:r>
    </w:p>
    <w:p w:rsidR="00AB2D31" w:rsidRDefault="00AB2D31"/>
    <w:p w:rsidR="00AB2D31" w:rsidRDefault="00AB2D31"/>
    <w:p w:rsidR="00AB2D31" w:rsidRDefault="00AB2D31"/>
    <w:p w:rsidR="00AB2D31" w:rsidRDefault="00AB2D31"/>
    <w:p w:rsidR="00AB2D31" w:rsidRDefault="00AB2D31"/>
    <w:p w:rsidR="00AB2D31" w:rsidRDefault="00AB2D31"/>
    <w:p w:rsidR="00AB2D31" w:rsidRDefault="00AB2D31"/>
    <w:p w:rsidR="00AB2D31" w:rsidRPr="00AB2D31" w:rsidRDefault="00AB2D31" w:rsidP="00AB2D31">
      <w:pPr>
        <w:pStyle w:val="Prrafodelista"/>
        <w:numPr>
          <w:ilvl w:val="0"/>
          <w:numId w:val="2"/>
        </w:numPr>
        <w:rPr>
          <w:b/>
          <w:sz w:val="28"/>
        </w:rPr>
      </w:pPr>
      <w:r w:rsidRPr="00AB2D31">
        <w:rPr>
          <w:b/>
          <w:sz w:val="28"/>
        </w:rPr>
        <w:lastRenderedPageBreak/>
        <w:t>Producción General del PASP (</w:t>
      </w:r>
      <w:r w:rsidR="003E0974">
        <w:rPr>
          <w:b/>
          <w:sz w:val="28"/>
        </w:rPr>
        <w:t xml:space="preserve"> ENERO-</w:t>
      </w:r>
      <w:r w:rsidR="00BA2380">
        <w:rPr>
          <w:b/>
          <w:sz w:val="28"/>
        </w:rPr>
        <w:t>OCTUBRE</w:t>
      </w:r>
      <w:r w:rsidRPr="00AB2D31">
        <w:rPr>
          <w:b/>
          <w:sz w:val="28"/>
        </w:rPr>
        <w:t xml:space="preserve"> 2017)</w:t>
      </w:r>
    </w:p>
    <w:p w:rsidR="00AB2D31" w:rsidRDefault="00AB2D31"/>
    <w:p w:rsidR="003E0974" w:rsidRDefault="003E0974">
      <w:r>
        <w:t>El presente boletín contiene el resumen de enero-octubre 2017 de toda la producción del Plan de Asistencia Social brinda a la ciudadanía de todo el territorio nacional, específicamente en las zonas vulnerables.</w:t>
      </w:r>
    </w:p>
    <w:p w:rsidR="003E0974" w:rsidRDefault="003E0974">
      <w:r>
        <w:t xml:space="preserve">Podemos observar que del producto correspondiente a </w:t>
      </w:r>
      <w:r w:rsidRPr="003B19A7">
        <w:rPr>
          <w:i/>
        </w:rPr>
        <w:t>Raciones Alimenticias</w:t>
      </w:r>
      <w:r>
        <w:t xml:space="preserve"> fueron entregado un total de </w:t>
      </w:r>
      <w:r w:rsidR="003B19A7">
        <w:t>1, 707,750, incluyendo las fundas reforzadas. En mes  de septiembre fue realizada la mayor cantidad de entregas de raciones en respuesta a las fuertes lluvias que afectaron al país.</w:t>
      </w:r>
    </w:p>
    <w:p w:rsidR="003B19A7" w:rsidRDefault="003B19A7">
      <w:r>
        <w:t xml:space="preserve">Cabe destacar que las estadísticas no incluyen unas </w:t>
      </w:r>
      <w:r>
        <w:t>368, 835 unidades  de Kit de Habichuelas</w:t>
      </w:r>
      <w:r w:rsidRPr="003B19A7">
        <w:t xml:space="preserve"> para las con Dulces</w:t>
      </w:r>
      <w:r>
        <w:t>,</w:t>
      </w:r>
      <w:r>
        <w:t xml:space="preserve"> </w:t>
      </w:r>
      <w:r>
        <w:t>que se entregaron en abril.</w:t>
      </w:r>
    </w:p>
    <w:p w:rsidR="003B19A7" w:rsidRDefault="003B19A7">
      <w:r>
        <w:t xml:space="preserve">Con respecto a las </w:t>
      </w:r>
      <w:r w:rsidRPr="003B19A7">
        <w:rPr>
          <w:i/>
        </w:rPr>
        <w:t>Ayudas Sociales</w:t>
      </w:r>
      <w:r>
        <w:t xml:space="preserve">, se puede visualizar que se beneficiaron a 162,504 </w:t>
      </w:r>
      <w:r w:rsidR="00231817">
        <w:t xml:space="preserve">personas. Siendo los meses de mayo y septiembre los que registraron mayores beneficiarios, dado que en estos meses el país se vio afectado por intensas. </w:t>
      </w:r>
    </w:p>
    <w:p w:rsidR="00231817" w:rsidRPr="00231817" w:rsidRDefault="00231817">
      <w:r>
        <w:t xml:space="preserve">Por último, están los </w:t>
      </w:r>
      <w:r w:rsidRPr="00231817">
        <w:rPr>
          <w:i/>
        </w:rPr>
        <w:t xml:space="preserve">Servicios </w:t>
      </w:r>
      <w:r>
        <w:rPr>
          <w:i/>
        </w:rPr>
        <w:t>d</w:t>
      </w:r>
      <w:r w:rsidRPr="00231817">
        <w:rPr>
          <w:i/>
        </w:rPr>
        <w:t>e Salud</w:t>
      </w:r>
      <w:r>
        <w:rPr>
          <w:i/>
        </w:rPr>
        <w:t xml:space="preserve"> </w:t>
      </w:r>
      <w:r>
        <w:t xml:space="preserve">se beneficiaron unas 56,746 personas, correspondiente a pacientes consultados en el centro de salud sumado a los operativos médicos  </w:t>
      </w:r>
    </w:p>
    <w:p w:rsidR="00231817" w:rsidRDefault="00231817"/>
    <w:p w:rsidR="00AB2D31" w:rsidRDefault="00AB2D31"/>
    <w:p w:rsidR="00AB2D31" w:rsidRDefault="00AB2D31">
      <w:pPr>
        <w:rPr>
          <w:b/>
          <w:sz w:val="28"/>
        </w:rPr>
      </w:pPr>
      <w:r w:rsidRPr="00AB2D31">
        <w:rPr>
          <w:b/>
          <w:sz w:val="28"/>
        </w:rPr>
        <w:t xml:space="preserve">Raciones Alimenticias </w:t>
      </w:r>
    </w:p>
    <w:p w:rsidR="00AB2D31" w:rsidRDefault="00817D40">
      <w:pPr>
        <w:rPr>
          <w:b/>
          <w:sz w:val="28"/>
        </w:rPr>
      </w:pPr>
      <w:r w:rsidRPr="00817D40">
        <w:drawing>
          <wp:inline distT="0" distB="0" distL="0" distR="0" wp14:anchorId="18C16D01" wp14:editId="4F7F84BF">
            <wp:extent cx="6084376" cy="131984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9758" cy="1321009"/>
                    </a:xfrm>
                    <a:prstGeom prst="rect">
                      <a:avLst/>
                    </a:prstGeom>
                    <a:noFill/>
                    <a:ln>
                      <a:noFill/>
                    </a:ln>
                  </pic:spPr>
                </pic:pic>
              </a:graphicData>
            </a:graphic>
          </wp:inline>
        </w:drawing>
      </w:r>
    </w:p>
    <w:p w:rsidR="00AB2D31" w:rsidRDefault="00817D40">
      <w:pPr>
        <w:rPr>
          <w:b/>
          <w:sz w:val="28"/>
        </w:rPr>
      </w:pPr>
      <w:r>
        <w:rPr>
          <w:noProof/>
          <w:lang w:eastAsia="es-DO"/>
        </w:rPr>
        <w:lastRenderedPageBreak/>
        <w:drawing>
          <wp:inline distT="0" distB="0" distL="0" distR="0" wp14:anchorId="5741F77F" wp14:editId="2F30A18E">
            <wp:extent cx="4572000" cy="27432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2D31" w:rsidRDefault="00AB2D31">
      <w:pPr>
        <w:rPr>
          <w:b/>
          <w:sz w:val="28"/>
        </w:rPr>
      </w:pPr>
    </w:p>
    <w:p w:rsidR="00AB2D31" w:rsidRDefault="00AB2D31" w:rsidP="00AB2D31">
      <w:pPr>
        <w:pStyle w:val="Prrafodelista"/>
        <w:numPr>
          <w:ilvl w:val="0"/>
          <w:numId w:val="1"/>
        </w:numPr>
        <w:rPr>
          <w:b/>
          <w:sz w:val="28"/>
        </w:rPr>
      </w:pPr>
      <w:r w:rsidRPr="00AB2D31">
        <w:rPr>
          <w:b/>
          <w:sz w:val="28"/>
        </w:rPr>
        <w:t xml:space="preserve">Ayudas Sociales </w:t>
      </w:r>
    </w:p>
    <w:p w:rsidR="00AB2D31" w:rsidRDefault="00B027E6" w:rsidP="00AB2D31">
      <w:pPr>
        <w:rPr>
          <w:b/>
          <w:sz w:val="28"/>
        </w:rPr>
      </w:pPr>
      <w:r w:rsidRPr="00B027E6">
        <w:drawing>
          <wp:inline distT="0" distB="0" distL="0" distR="0" wp14:anchorId="3867BF94" wp14:editId="7F2D516D">
            <wp:extent cx="6547449" cy="1587260"/>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3241" cy="1588664"/>
                    </a:xfrm>
                    <a:prstGeom prst="rect">
                      <a:avLst/>
                    </a:prstGeom>
                    <a:noFill/>
                    <a:ln>
                      <a:noFill/>
                    </a:ln>
                  </pic:spPr>
                </pic:pic>
              </a:graphicData>
            </a:graphic>
          </wp:inline>
        </w:drawing>
      </w:r>
    </w:p>
    <w:p w:rsidR="008B7687" w:rsidRDefault="00B027E6" w:rsidP="00AB2D31">
      <w:pPr>
        <w:rPr>
          <w:b/>
          <w:sz w:val="28"/>
        </w:rPr>
      </w:pPr>
      <w:r>
        <w:rPr>
          <w:noProof/>
          <w:lang w:eastAsia="es-DO"/>
        </w:rPr>
        <w:drawing>
          <wp:inline distT="0" distB="0" distL="0" distR="0" wp14:anchorId="5D2DA62A" wp14:editId="03A28150">
            <wp:extent cx="4572000" cy="27432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7687" w:rsidRDefault="008B7687" w:rsidP="00AB2D31">
      <w:pPr>
        <w:rPr>
          <w:b/>
          <w:sz w:val="28"/>
        </w:rPr>
      </w:pPr>
      <w:bookmarkStart w:id="0" w:name="_GoBack"/>
      <w:bookmarkEnd w:id="0"/>
    </w:p>
    <w:p w:rsidR="008B7687" w:rsidRDefault="00430EB1" w:rsidP="008B7687">
      <w:pPr>
        <w:pStyle w:val="Prrafodelista"/>
        <w:numPr>
          <w:ilvl w:val="0"/>
          <w:numId w:val="3"/>
        </w:numPr>
        <w:rPr>
          <w:b/>
          <w:sz w:val="28"/>
        </w:rPr>
      </w:pPr>
      <w:r>
        <w:rPr>
          <w:b/>
          <w:sz w:val="28"/>
        </w:rPr>
        <w:t>Servicios de S</w:t>
      </w:r>
      <w:r w:rsidR="008B7687" w:rsidRPr="008B7687">
        <w:rPr>
          <w:b/>
          <w:sz w:val="28"/>
        </w:rPr>
        <w:t xml:space="preserve">alud </w:t>
      </w:r>
    </w:p>
    <w:p w:rsidR="008B7687" w:rsidRDefault="00B027E6" w:rsidP="008B7687">
      <w:pPr>
        <w:rPr>
          <w:b/>
          <w:sz w:val="28"/>
        </w:rPr>
      </w:pPr>
      <w:r w:rsidRPr="00B027E6">
        <w:drawing>
          <wp:inline distT="0" distB="0" distL="0" distR="0" wp14:anchorId="2090DA17" wp14:editId="700B79D9">
            <wp:extent cx="6176513" cy="4209691"/>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1978" cy="4213416"/>
                    </a:xfrm>
                    <a:prstGeom prst="rect">
                      <a:avLst/>
                    </a:prstGeom>
                    <a:noFill/>
                    <a:ln>
                      <a:noFill/>
                    </a:ln>
                  </pic:spPr>
                </pic:pic>
              </a:graphicData>
            </a:graphic>
          </wp:inline>
        </w:drawing>
      </w:r>
    </w:p>
    <w:p w:rsidR="008B7687" w:rsidRPr="008B7687" w:rsidRDefault="004E705E" w:rsidP="008B7687">
      <w:pPr>
        <w:rPr>
          <w:b/>
          <w:sz w:val="28"/>
        </w:rPr>
      </w:pPr>
      <w:r>
        <w:rPr>
          <w:noProof/>
          <w:lang w:eastAsia="es-DO"/>
        </w:rPr>
        <w:lastRenderedPageBreak/>
        <w:drawing>
          <wp:inline distT="0" distB="0" distL="0" distR="0" wp14:anchorId="6B3B2906" wp14:editId="7551DCC7">
            <wp:extent cx="4572000" cy="3234906"/>
            <wp:effectExtent l="0" t="0" r="19050" b="2286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8B7687" w:rsidRPr="008B76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32" w:rsidRDefault="00015032" w:rsidP="00231817">
      <w:pPr>
        <w:spacing w:after="0" w:line="240" w:lineRule="auto"/>
      </w:pPr>
      <w:r>
        <w:separator/>
      </w:r>
    </w:p>
  </w:endnote>
  <w:endnote w:type="continuationSeparator" w:id="0">
    <w:p w:rsidR="00015032" w:rsidRDefault="00015032" w:rsidP="0023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32" w:rsidRDefault="00015032" w:rsidP="00231817">
      <w:pPr>
        <w:spacing w:after="0" w:line="240" w:lineRule="auto"/>
      </w:pPr>
      <w:r>
        <w:separator/>
      </w:r>
    </w:p>
  </w:footnote>
  <w:footnote w:type="continuationSeparator" w:id="0">
    <w:p w:rsidR="00015032" w:rsidRDefault="00015032" w:rsidP="00231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17" w:rsidRPr="00231817" w:rsidRDefault="00231817" w:rsidP="00231817">
    <w:pPr>
      <w:pStyle w:val="Encabezado"/>
      <w:jc w:val="right"/>
      <w:rPr>
        <w:b/>
        <w:i/>
        <w:sz w:val="16"/>
        <w:szCs w:val="16"/>
      </w:rPr>
    </w:pPr>
    <w:r w:rsidRPr="00231817">
      <w:rPr>
        <w:b/>
        <w:i/>
        <w:sz w:val="16"/>
        <w:szCs w:val="16"/>
      </w:rPr>
      <w:t>Elaborado: Departamento de Planificación y Desarrollo</w:t>
    </w:r>
    <w:r>
      <w:rPr>
        <w:b/>
        <w:i/>
        <w:sz w:val="16"/>
        <w:szCs w:val="16"/>
      </w:rPr>
      <w:t xml:space="preserve"> del PASP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4D9"/>
    <w:multiLevelType w:val="hybridMultilevel"/>
    <w:tmpl w:val="C3EA81A4"/>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1F4834B1"/>
    <w:multiLevelType w:val="hybridMultilevel"/>
    <w:tmpl w:val="601A24A4"/>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3CEC64AD"/>
    <w:multiLevelType w:val="hybridMultilevel"/>
    <w:tmpl w:val="03703CF4"/>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75"/>
    <w:rsid w:val="000033C1"/>
    <w:rsid w:val="00015032"/>
    <w:rsid w:val="000A748D"/>
    <w:rsid w:val="000C1E24"/>
    <w:rsid w:val="0014022E"/>
    <w:rsid w:val="00167C70"/>
    <w:rsid w:val="001A2F98"/>
    <w:rsid w:val="001A79EE"/>
    <w:rsid w:val="001C3C5B"/>
    <w:rsid w:val="00231817"/>
    <w:rsid w:val="002374B1"/>
    <w:rsid w:val="002730BE"/>
    <w:rsid w:val="002D3710"/>
    <w:rsid w:val="00301BC6"/>
    <w:rsid w:val="00324EDE"/>
    <w:rsid w:val="003B19A7"/>
    <w:rsid w:val="003E0974"/>
    <w:rsid w:val="003E2B7D"/>
    <w:rsid w:val="0042070B"/>
    <w:rsid w:val="00430EB1"/>
    <w:rsid w:val="004E705E"/>
    <w:rsid w:val="00504441"/>
    <w:rsid w:val="005365FF"/>
    <w:rsid w:val="00590436"/>
    <w:rsid w:val="0059466E"/>
    <w:rsid w:val="005C696D"/>
    <w:rsid w:val="00602707"/>
    <w:rsid w:val="0070516C"/>
    <w:rsid w:val="0075760B"/>
    <w:rsid w:val="00790B0D"/>
    <w:rsid w:val="007F3E5D"/>
    <w:rsid w:val="00817D40"/>
    <w:rsid w:val="00894F22"/>
    <w:rsid w:val="008B7687"/>
    <w:rsid w:val="009F1B96"/>
    <w:rsid w:val="00A95985"/>
    <w:rsid w:val="00AA2E12"/>
    <w:rsid w:val="00AB2D31"/>
    <w:rsid w:val="00AD10BE"/>
    <w:rsid w:val="00AF2BF9"/>
    <w:rsid w:val="00B027E6"/>
    <w:rsid w:val="00B0315B"/>
    <w:rsid w:val="00BA2380"/>
    <w:rsid w:val="00C2763F"/>
    <w:rsid w:val="00C42899"/>
    <w:rsid w:val="00C729B8"/>
    <w:rsid w:val="00C96D81"/>
    <w:rsid w:val="00CA5715"/>
    <w:rsid w:val="00CB1FEB"/>
    <w:rsid w:val="00D038F1"/>
    <w:rsid w:val="00D53BA2"/>
    <w:rsid w:val="00E05875"/>
    <w:rsid w:val="00E3633A"/>
    <w:rsid w:val="00EE18C4"/>
    <w:rsid w:val="00F03C8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58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875"/>
    <w:rPr>
      <w:rFonts w:ascii="Tahoma" w:hAnsi="Tahoma" w:cs="Tahoma"/>
      <w:sz w:val="16"/>
      <w:szCs w:val="16"/>
    </w:rPr>
  </w:style>
  <w:style w:type="table" w:styleId="Sombreadoclaro-nfasis5">
    <w:name w:val="Light Shading Accent 5"/>
    <w:basedOn w:val="Tablanormal"/>
    <w:uiPriority w:val="60"/>
    <w:rsid w:val="00E0587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E0587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E0587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
    <w:name w:val="Light Shading"/>
    <w:basedOn w:val="Tablanormal"/>
    <w:uiPriority w:val="60"/>
    <w:rsid w:val="00E058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E058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delmarcadordeposicin">
    <w:name w:val="Placeholder Text"/>
    <w:basedOn w:val="Fuentedeprrafopredeter"/>
    <w:uiPriority w:val="99"/>
    <w:semiHidden/>
    <w:rsid w:val="003E2B7D"/>
    <w:rPr>
      <w:color w:val="808080"/>
    </w:rPr>
  </w:style>
  <w:style w:type="paragraph" w:styleId="Prrafodelista">
    <w:name w:val="List Paragraph"/>
    <w:basedOn w:val="Normal"/>
    <w:uiPriority w:val="34"/>
    <w:qFormat/>
    <w:rsid w:val="00AB2D31"/>
    <w:pPr>
      <w:ind w:left="720"/>
      <w:contextualSpacing/>
    </w:pPr>
  </w:style>
  <w:style w:type="paragraph" w:styleId="Encabezado">
    <w:name w:val="header"/>
    <w:basedOn w:val="Normal"/>
    <w:link w:val="EncabezadoCar"/>
    <w:uiPriority w:val="99"/>
    <w:unhideWhenUsed/>
    <w:rsid w:val="00231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817"/>
  </w:style>
  <w:style w:type="paragraph" w:styleId="Piedepgina">
    <w:name w:val="footer"/>
    <w:basedOn w:val="Normal"/>
    <w:link w:val="PiedepginaCar"/>
    <w:uiPriority w:val="99"/>
    <w:unhideWhenUsed/>
    <w:rsid w:val="00231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58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875"/>
    <w:rPr>
      <w:rFonts w:ascii="Tahoma" w:hAnsi="Tahoma" w:cs="Tahoma"/>
      <w:sz w:val="16"/>
      <w:szCs w:val="16"/>
    </w:rPr>
  </w:style>
  <w:style w:type="table" w:styleId="Sombreadoclaro-nfasis5">
    <w:name w:val="Light Shading Accent 5"/>
    <w:basedOn w:val="Tablanormal"/>
    <w:uiPriority w:val="60"/>
    <w:rsid w:val="00E0587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E0587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E0587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
    <w:name w:val="Light Shading"/>
    <w:basedOn w:val="Tablanormal"/>
    <w:uiPriority w:val="60"/>
    <w:rsid w:val="00E058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E058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delmarcadordeposicin">
    <w:name w:val="Placeholder Text"/>
    <w:basedOn w:val="Fuentedeprrafopredeter"/>
    <w:uiPriority w:val="99"/>
    <w:semiHidden/>
    <w:rsid w:val="003E2B7D"/>
    <w:rPr>
      <w:color w:val="808080"/>
    </w:rPr>
  </w:style>
  <w:style w:type="paragraph" w:styleId="Prrafodelista">
    <w:name w:val="List Paragraph"/>
    <w:basedOn w:val="Normal"/>
    <w:uiPriority w:val="34"/>
    <w:qFormat/>
    <w:rsid w:val="00AB2D31"/>
    <w:pPr>
      <w:ind w:left="720"/>
      <w:contextualSpacing/>
    </w:pPr>
  </w:style>
  <w:style w:type="paragraph" w:styleId="Encabezado">
    <w:name w:val="header"/>
    <w:basedOn w:val="Normal"/>
    <w:link w:val="EncabezadoCar"/>
    <w:uiPriority w:val="99"/>
    <w:unhideWhenUsed/>
    <w:rsid w:val="00231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817"/>
  </w:style>
  <w:style w:type="paragraph" w:styleId="Piedepgina">
    <w:name w:val="footer"/>
    <w:basedOn w:val="Normal"/>
    <w:link w:val="PiedepginaCar"/>
    <w:uiPriority w:val="99"/>
    <w:unhideWhenUsed/>
    <w:rsid w:val="00231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3527">
      <w:bodyDiv w:val="1"/>
      <w:marLeft w:val="0"/>
      <w:marRight w:val="0"/>
      <w:marTop w:val="0"/>
      <w:marBottom w:val="0"/>
      <w:divBdr>
        <w:top w:val="none" w:sz="0" w:space="0" w:color="auto"/>
        <w:left w:val="none" w:sz="0" w:space="0" w:color="auto"/>
        <w:bottom w:val="none" w:sz="0" w:space="0" w:color="auto"/>
        <w:right w:val="none" w:sz="0" w:space="0" w:color="auto"/>
      </w:divBdr>
    </w:div>
    <w:div w:id="839584912">
      <w:bodyDiv w:val="1"/>
      <w:marLeft w:val="0"/>
      <w:marRight w:val="0"/>
      <w:marTop w:val="0"/>
      <w:marBottom w:val="0"/>
      <w:divBdr>
        <w:top w:val="none" w:sz="0" w:space="0" w:color="auto"/>
        <w:left w:val="none" w:sz="0" w:space="0" w:color="auto"/>
        <w:bottom w:val="none" w:sz="0" w:space="0" w:color="auto"/>
        <w:right w:val="none" w:sz="0" w:space="0" w:color="auto"/>
      </w:divBdr>
    </w:div>
    <w:div w:id="1350519705">
      <w:bodyDiv w:val="1"/>
      <w:marLeft w:val="0"/>
      <w:marRight w:val="0"/>
      <w:marTop w:val="0"/>
      <w:marBottom w:val="0"/>
      <w:divBdr>
        <w:top w:val="none" w:sz="0" w:space="0" w:color="auto"/>
        <w:left w:val="none" w:sz="0" w:space="0" w:color="auto"/>
        <w:bottom w:val="none" w:sz="0" w:space="0" w:color="auto"/>
        <w:right w:val="none" w:sz="0" w:space="0" w:color="auto"/>
      </w:divBdr>
    </w:div>
    <w:div w:id="1809782335">
      <w:bodyDiv w:val="1"/>
      <w:marLeft w:val="0"/>
      <w:marRight w:val="0"/>
      <w:marTop w:val="0"/>
      <w:marBottom w:val="0"/>
      <w:divBdr>
        <w:top w:val="none" w:sz="0" w:space="0" w:color="auto"/>
        <w:left w:val="none" w:sz="0" w:space="0" w:color="auto"/>
        <w:bottom w:val="none" w:sz="0" w:space="0" w:color="auto"/>
        <w:right w:val="none" w:sz="0" w:space="0" w:color="auto"/>
      </w:divBdr>
    </w:div>
    <w:div w:id="1813936430">
      <w:bodyDiv w:val="1"/>
      <w:marLeft w:val="0"/>
      <w:marRight w:val="0"/>
      <w:marTop w:val="0"/>
      <w:marBottom w:val="0"/>
      <w:divBdr>
        <w:top w:val="none" w:sz="0" w:space="0" w:color="auto"/>
        <w:left w:val="none" w:sz="0" w:space="0" w:color="auto"/>
        <w:bottom w:val="none" w:sz="0" w:space="0" w:color="auto"/>
        <w:right w:val="none" w:sz="0" w:space="0" w:color="auto"/>
      </w:divBdr>
    </w:div>
    <w:div w:id="1987775803">
      <w:bodyDiv w:val="1"/>
      <w:marLeft w:val="0"/>
      <w:marRight w:val="0"/>
      <w:marTop w:val="0"/>
      <w:marBottom w:val="0"/>
      <w:divBdr>
        <w:top w:val="none" w:sz="0" w:space="0" w:color="auto"/>
        <w:left w:val="none" w:sz="0" w:space="0" w:color="auto"/>
        <w:bottom w:val="none" w:sz="0" w:space="0" w:color="auto"/>
        <w:right w:val="none" w:sz="0" w:space="0" w:color="auto"/>
      </w:divBdr>
    </w:div>
    <w:div w:id="2072918687">
      <w:bodyDiv w:val="1"/>
      <w:marLeft w:val="0"/>
      <w:marRight w:val="0"/>
      <w:marTop w:val="0"/>
      <w:marBottom w:val="0"/>
      <w:divBdr>
        <w:top w:val="none" w:sz="0" w:space="0" w:color="auto"/>
        <w:left w:val="none" w:sz="0" w:space="0" w:color="auto"/>
        <w:bottom w:val="none" w:sz="0" w:space="0" w:color="auto"/>
        <w:right w:val="none" w:sz="0" w:space="0" w:color="auto"/>
      </w:divBdr>
    </w:div>
    <w:div w:id="20780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s-DO" sz="900"/>
              <a:t>RACIONES DE ALIMENTOS-UNIDADES </a:t>
            </a:r>
          </a:p>
          <a:p>
            <a:pPr>
              <a:defRPr/>
            </a:pPr>
            <a:r>
              <a:rPr lang="es-DO" sz="900"/>
              <a:t>(enero-octubre</a:t>
            </a:r>
            <a:r>
              <a:rPr lang="es-DO" sz="900" baseline="0"/>
              <a:t> 2017)</a:t>
            </a:r>
            <a:endParaRPr lang="es-DO" sz="900"/>
          </a:p>
        </c:rich>
      </c:tx>
      <c:overlay val="0"/>
    </c:title>
    <c:autoTitleDeleted val="0"/>
    <c:plotArea>
      <c:layout/>
      <c:barChart>
        <c:barDir val="bar"/>
        <c:grouping val="clustered"/>
        <c:varyColors val="0"/>
        <c:ser>
          <c:idx val="0"/>
          <c:order val="0"/>
          <c:tx>
            <c:strRef>
              <c:f>Hoja1!$A$18</c:f>
              <c:strCache>
                <c:ptCount val="1"/>
                <c:pt idx="0">
                  <c:v>RACIONES DE ALIMENTOS-UNIDADES</c:v>
                </c:pt>
              </c:strCache>
            </c:strRef>
          </c:tx>
          <c:invertIfNegative val="0"/>
          <c:cat>
            <c:strRef>
              <c:f>Hoja1!$B$16:$K$17</c:f>
              <c:strCache>
                <c:ptCount val="10"/>
                <c:pt idx="0">
                  <c:v>ENERO</c:v>
                </c:pt>
                <c:pt idx="1">
                  <c:v>FEBRERO</c:v>
                </c:pt>
                <c:pt idx="2">
                  <c:v>MARZO</c:v>
                </c:pt>
                <c:pt idx="3">
                  <c:v>ABRIL</c:v>
                </c:pt>
                <c:pt idx="4">
                  <c:v>MAYO</c:v>
                </c:pt>
                <c:pt idx="5">
                  <c:v> JUNIO </c:v>
                </c:pt>
                <c:pt idx="6">
                  <c:v>JULIO</c:v>
                </c:pt>
                <c:pt idx="7">
                  <c:v>AGOSTO</c:v>
                </c:pt>
                <c:pt idx="8">
                  <c:v>SEPTIEMBRE </c:v>
                </c:pt>
                <c:pt idx="9">
                  <c:v>OCTUBRE</c:v>
                </c:pt>
              </c:strCache>
            </c:strRef>
          </c:cat>
          <c:val>
            <c:numRef>
              <c:f>Hoja1!$B$18:$K$18</c:f>
              <c:numCache>
                <c:formatCode>#,##0</c:formatCode>
                <c:ptCount val="10"/>
                <c:pt idx="0">
                  <c:v>7078</c:v>
                </c:pt>
                <c:pt idx="1">
                  <c:v>17867</c:v>
                </c:pt>
                <c:pt idx="2">
                  <c:v>88544</c:v>
                </c:pt>
                <c:pt idx="3">
                  <c:v>189791</c:v>
                </c:pt>
                <c:pt idx="4">
                  <c:v>197903</c:v>
                </c:pt>
                <c:pt idx="5">
                  <c:v>229390</c:v>
                </c:pt>
                <c:pt idx="6">
                  <c:v>146284</c:v>
                </c:pt>
                <c:pt idx="7">
                  <c:v>246622</c:v>
                </c:pt>
                <c:pt idx="8">
                  <c:v>427427</c:v>
                </c:pt>
                <c:pt idx="9">
                  <c:v>156844</c:v>
                </c:pt>
              </c:numCache>
            </c:numRef>
          </c:val>
        </c:ser>
        <c:dLbls>
          <c:showLegendKey val="0"/>
          <c:showVal val="0"/>
          <c:showCatName val="0"/>
          <c:showSerName val="0"/>
          <c:showPercent val="0"/>
          <c:showBubbleSize val="0"/>
        </c:dLbls>
        <c:gapWidth val="150"/>
        <c:axId val="151643648"/>
        <c:axId val="163563392"/>
      </c:barChart>
      <c:catAx>
        <c:axId val="151643648"/>
        <c:scaling>
          <c:orientation val="minMax"/>
        </c:scaling>
        <c:delete val="0"/>
        <c:axPos val="l"/>
        <c:majorTickMark val="out"/>
        <c:minorTickMark val="none"/>
        <c:tickLblPos val="nextTo"/>
        <c:txPr>
          <a:bodyPr/>
          <a:lstStyle/>
          <a:p>
            <a:pPr>
              <a:defRPr sz="900"/>
            </a:pPr>
            <a:endParaRPr lang="es-DO"/>
          </a:p>
        </c:txPr>
        <c:crossAx val="163563392"/>
        <c:crosses val="autoZero"/>
        <c:auto val="1"/>
        <c:lblAlgn val="ctr"/>
        <c:lblOffset val="100"/>
        <c:noMultiLvlLbl val="0"/>
      </c:catAx>
      <c:valAx>
        <c:axId val="163563392"/>
        <c:scaling>
          <c:orientation val="minMax"/>
        </c:scaling>
        <c:delete val="0"/>
        <c:axPos val="b"/>
        <c:numFmt formatCode="#,##0" sourceLinked="1"/>
        <c:majorTickMark val="out"/>
        <c:minorTickMark val="none"/>
        <c:tickLblPos val="nextTo"/>
        <c:crossAx val="151643648"/>
        <c:crosses val="autoZero"/>
        <c:crossBetween val="between"/>
      </c:valAx>
    </c:plotArea>
    <c:legend>
      <c:legendPos val="r"/>
      <c:overlay val="0"/>
      <c:txPr>
        <a:bodyPr/>
        <a:lstStyle/>
        <a:p>
          <a:pPr>
            <a:defRPr sz="900"/>
          </a:pPr>
          <a:endParaRPr lang="es-DO"/>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DO" sz="1000"/>
              <a:t>Total  Ayudas Sociales</a:t>
            </a:r>
          </a:p>
          <a:p>
            <a:pPr>
              <a:defRPr/>
            </a:pPr>
            <a:r>
              <a:rPr lang="es-DO" sz="1000"/>
              <a:t>(enero-octubre</a:t>
            </a:r>
            <a:r>
              <a:rPr lang="es-DO" sz="1000" baseline="0"/>
              <a:t> 2017)</a:t>
            </a:r>
            <a:r>
              <a:rPr lang="es-DO" sz="1000"/>
              <a:t> </a:t>
            </a:r>
          </a:p>
        </c:rich>
      </c:tx>
      <c:layout>
        <c:manualLayout>
          <c:xMode val="edge"/>
          <c:yMode val="edge"/>
          <c:x val="0.27143044619422574"/>
          <c:y val="3.7037037037037035E-2"/>
        </c:manualLayout>
      </c:layout>
      <c:overlay val="0"/>
    </c:title>
    <c:autoTitleDeleted val="0"/>
    <c:plotArea>
      <c:layout/>
      <c:barChart>
        <c:barDir val="bar"/>
        <c:grouping val="clustered"/>
        <c:varyColors val="0"/>
        <c:ser>
          <c:idx val="0"/>
          <c:order val="0"/>
          <c:tx>
            <c:strRef>
              <c:f>Hoja2!$A$15</c:f>
              <c:strCache>
                <c:ptCount val="1"/>
                <c:pt idx="0">
                  <c:v>Total  Ayudas Sociales </c:v>
                </c:pt>
              </c:strCache>
            </c:strRef>
          </c:tx>
          <c:invertIfNegative val="0"/>
          <c:cat>
            <c:strRef>
              <c:f>Hoja2!$B$13:$K$14</c:f>
              <c:strCache>
                <c:ptCount val="10"/>
                <c:pt idx="0">
                  <c:v>ENERO</c:v>
                </c:pt>
                <c:pt idx="1">
                  <c:v>FEBRERO</c:v>
                </c:pt>
                <c:pt idx="2">
                  <c:v>MARZO</c:v>
                </c:pt>
                <c:pt idx="3">
                  <c:v>ABRIL</c:v>
                </c:pt>
                <c:pt idx="4">
                  <c:v>MAYO</c:v>
                </c:pt>
                <c:pt idx="5">
                  <c:v> JUNIO </c:v>
                </c:pt>
                <c:pt idx="6">
                  <c:v>JULIO</c:v>
                </c:pt>
                <c:pt idx="7">
                  <c:v>AGOSTO</c:v>
                </c:pt>
                <c:pt idx="8">
                  <c:v>SEPTIEMBRE </c:v>
                </c:pt>
                <c:pt idx="9">
                  <c:v>OCTUBRE</c:v>
                </c:pt>
              </c:strCache>
            </c:strRef>
          </c:cat>
          <c:val>
            <c:numRef>
              <c:f>Hoja2!$B$15:$K$15</c:f>
              <c:numCache>
                <c:formatCode>General</c:formatCode>
                <c:ptCount val="10"/>
                <c:pt idx="0">
                  <c:v>380</c:v>
                </c:pt>
                <c:pt idx="1">
                  <c:v>361</c:v>
                </c:pt>
                <c:pt idx="2">
                  <c:v>1542</c:v>
                </c:pt>
                <c:pt idx="3">
                  <c:v>5928</c:v>
                </c:pt>
                <c:pt idx="4">
                  <c:v>35720</c:v>
                </c:pt>
                <c:pt idx="5">
                  <c:v>7168</c:v>
                </c:pt>
                <c:pt idx="6">
                  <c:v>1982</c:v>
                </c:pt>
                <c:pt idx="7">
                  <c:v>9770</c:v>
                </c:pt>
                <c:pt idx="8">
                  <c:v>80302</c:v>
                </c:pt>
                <c:pt idx="9">
                  <c:v>19351</c:v>
                </c:pt>
              </c:numCache>
            </c:numRef>
          </c:val>
        </c:ser>
        <c:dLbls>
          <c:showLegendKey val="0"/>
          <c:showVal val="0"/>
          <c:showCatName val="0"/>
          <c:showSerName val="0"/>
          <c:showPercent val="0"/>
          <c:showBubbleSize val="0"/>
        </c:dLbls>
        <c:gapWidth val="150"/>
        <c:axId val="179434240"/>
        <c:axId val="179435776"/>
      </c:barChart>
      <c:catAx>
        <c:axId val="179434240"/>
        <c:scaling>
          <c:orientation val="minMax"/>
        </c:scaling>
        <c:delete val="0"/>
        <c:axPos val="l"/>
        <c:majorTickMark val="out"/>
        <c:minorTickMark val="none"/>
        <c:tickLblPos val="nextTo"/>
        <c:crossAx val="179435776"/>
        <c:crosses val="autoZero"/>
        <c:auto val="1"/>
        <c:lblAlgn val="ctr"/>
        <c:lblOffset val="100"/>
        <c:noMultiLvlLbl val="0"/>
      </c:catAx>
      <c:valAx>
        <c:axId val="179435776"/>
        <c:scaling>
          <c:orientation val="minMax"/>
        </c:scaling>
        <c:delete val="0"/>
        <c:axPos val="b"/>
        <c:numFmt formatCode="General" sourceLinked="1"/>
        <c:majorTickMark val="out"/>
        <c:minorTickMark val="none"/>
        <c:tickLblPos val="nextTo"/>
        <c:crossAx val="17943424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'[Presupuesto Fisico al mes de AñO-2017 (19).xlsx]Hoja1'!$O$21</c:f>
              <c:strCache>
                <c:ptCount val="1"/>
                <c:pt idx="0">
                  <c:v>TOTAL DE PACIENTES CONSULTADOS</c:v>
                </c:pt>
              </c:strCache>
            </c:strRef>
          </c:tx>
          <c:invertIfNegative val="0"/>
          <c:cat>
            <c:strRef>
              <c:f>'[Presupuesto Fisico al mes de AñO-2017 (19).xlsx]Hoja1'!$P$20:$Y$20</c:f>
              <c:strCache>
                <c:ptCount val="10"/>
                <c:pt idx="0">
                  <c:v>ENE.</c:v>
                </c:pt>
                <c:pt idx="1">
                  <c:v>FEB.</c:v>
                </c:pt>
                <c:pt idx="2">
                  <c:v>MAR.</c:v>
                </c:pt>
                <c:pt idx="3">
                  <c:v>ABR. </c:v>
                </c:pt>
                <c:pt idx="4">
                  <c:v>MAY.</c:v>
                </c:pt>
                <c:pt idx="5">
                  <c:v>JUN.</c:v>
                </c:pt>
                <c:pt idx="6">
                  <c:v>JUL.</c:v>
                </c:pt>
                <c:pt idx="7">
                  <c:v>AGO.</c:v>
                </c:pt>
                <c:pt idx="8">
                  <c:v>SEP.</c:v>
                </c:pt>
                <c:pt idx="9">
                  <c:v>OCT.</c:v>
                </c:pt>
              </c:strCache>
            </c:strRef>
          </c:cat>
          <c:val>
            <c:numRef>
              <c:f>'[Presupuesto Fisico al mes de AñO-2017 (19).xlsx]Hoja1'!$P$21:$Y$21</c:f>
              <c:numCache>
                <c:formatCode>#,##0</c:formatCode>
                <c:ptCount val="10"/>
                <c:pt idx="0">
                  <c:v>3174</c:v>
                </c:pt>
                <c:pt idx="1">
                  <c:v>4352</c:v>
                </c:pt>
                <c:pt idx="2">
                  <c:v>5357</c:v>
                </c:pt>
                <c:pt idx="3">
                  <c:v>3128</c:v>
                </c:pt>
                <c:pt idx="4">
                  <c:v>4927</c:v>
                </c:pt>
                <c:pt idx="5">
                  <c:v>4595</c:v>
                </c:pt>
                <c:pt idx="6">
                  <c:v>4681</c:v>
                </c:pt>
                <c:pt idx="7">
                  <c:v>4821</c:v>
                </c:pt>
                <c:pt idx="8">
                  <c:v>3363</c:v>
                </c:pt>
                <c:pt idx="9">
                  <c:v>5388</c:v>
                </c:pt>
              </c:numCache>
            </c:numRef>
          </c:val>
        </c:ser>
        <c:ser>
          <c:idx val="1"/>
          <c:order val="1"/>
          <c:tx>
            <c:strRef>
              <c:f>'[Presupuesto Fisico al mes de AñO-2017 (19).xlsx]Hoja1'!$O$22</c:f>
              <c:strCache>
                <c:ptCount val="1"/>
                <c:pt idx="0">
                  <c:v>TOTAL DE PACIENTES ATENDIDOS EN OPERATIVOS MEDICOS</c:v>
                </c:pt>
              </c:strCache>
            </c:strRef>
          </c:tx>
          <c:invertIfNegative val="0"/>
          <c:cat>
            <c:strRef>
              <c:f>'[Presupuesto Fisico al mes de AñO-2017 (19).xlsx]Hoja1'!$P$20:$Y$20</c:f>
              <c:strCache>
                <c:ptCount val="10"/>
                <c:pt idx="0">
                  <c:v>ENE.</c:v>
                </c:pt>
                <c:pt idx="1">
                  <c:v>FEB.</c:v>
                </c:pt>
                <c:pt idx="2">
                  <c:v>MAR.</c:v>
                </c:pt>
                <c:pt idx="3">
                  <c:v>ABR. </c:v>
                </c:pt>
                <c:pt idx="4">
                  <c:v>MAY.</c:v>
                </c:pt>
                <c:pt idx="5">
                  <c:v>JUN.</c:v>
                </c:pt>
                <c:pt idx="6">
                  <c:v>JUL.</c:v>
                </c:pt>
                <c:pt idx="7">
                  <c:v>AGO.</c:v>
                </c:pt>
                <c:pt idx="8">
                  <c:v>SEP.</c:v>
                </c:pt>
                <c:pt idx="9">
                  <c:v>OCT.</c:v>
                </c:pt>
              </c:strCache>
            </c:strRef>
          </c:cat>
          <c:val>
            <c:numRef>
              <c:f>'[Presupuesto Fisico al mes de AñO-2017 (19).xlsx]Hoja1'!$P$22:$Y$22</c:f>
              <c:numCache>
                <c:formatCode>General</c:formatCode>
                <c:ptCount val="10"/>
                <c:pt idx="0">
                  <c:v>0</c:v>
                </c:pt>
                <c:pt idx="1">
                  <c:v>0</c:v>
                </c:pt>
                <c:pt idx="2">
                  <c:v>0</c:v>
                </c:pt>
                <c:pt idx="3">
                  <c:v>108</c:v>
                </c:pt>
                <c:pt idx="4">
                  <c:v>5473</c:v>
                </c:pt>
                <c:pt idx="5">
                  <c:v>0</c:v>
                </c:pt>
                <c:pt idx="6">
                  <c:v>0</c:v>
                </c:pt>
                <c:pt idx="7">
                  <c:v>795</c:v>
                </c:pt>
                <c:pt idx="8">
                  <c:v>2827</c:v>
                </c:pt>
                <c:pt idx="9">
                  <c:v>3753</c:v>
                </c:pt>
              </c:numCache>
            </c:numRef>
          </c:val>
        </c:ser>
        <c:dLbls>
          <c:showLegendKey val="0"/>
          <c:showVal val="0"/>
          <c:showCatName val="0"/>
          <c:showSerName val="0"/>
          <c:showPercent val="0"/>
          <c:showBubbleSize val="0"/>
        </c:dLbls>
        <c:gapWidth val="150"/>
        <c:axId val="136707072"/>
        <c:axId val="141701888"/>
      </c:barChart>
      <c:catAx>
        <c:axId val="136707072"/>
        <c:scaling>
          <c:orientation val="minMax"/>
        </c:scaling>
        <c:delete val="0"/>
        <c:axPos val="l"/>
        <c:majorTickMark val="out"/>
        <c:minorTickMark val="none"/>
        <c:tickLblPos val="nextTo"/>
        <c:crossAx val="141701888"/>
        <c:crosses val="autoZero"/>
        <c:auto val="1"/>
        <c:lblAlgn val="ctr"/>
        <c:lblOffset val="100"/>
        <c:noMultiLvlLbl val="0"/>
      </c:catAx>
      <c:valAx>
        <c:axId val="141701888"/>
        <c:scaling>
          <c:orientation val="minMax"/>
        </c:scaling>
        <c:delete val="0"/>
        <c:axPos val="b"/>
        <c:numFmt formatCode="#,##0" sourceLinked="1"/>
        <c:majorTickMark val="out"/>
        <c:minorTickMark val="none"/>
        <c:tickLblPos val="nextTo"/>
        <c:crossAx val="136707072"/>
        <c:crosses val="autoZero"/>
        <c:crossBetween val="between"/>
      </c:valAx>
    </c:plotArea>
    <c:legend>
      <c:legendPos val="r"/>
      <c:overlay val="0"/>
      <c:txPr>
        <a:bodyPr/>
        <a:lstStyle/>
        <a:p>
          <a:pPr>
            <a:defRPr sz="900"/>
          </a:pPr>
          <a:endParaRPr lang="es-DO"/>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9332-6973-421B-AFBE-CCC46202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669</Words>
  <Characters>3680</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Alcantara</dc:creator>
  <cp:lastModifiedBy>Pamela Alcantara</cp:lastModifiedBy>
  <cp:revision>3</cp:revision>
  <dcterms:created xsi:type="dcterms:W3CDTF">2017-11-17T17:43:00Z</dcterms:created>
  <dcterms:modified xsi:type="dcterms:W3CDTF">2017-11-17T18:07:00Z</dcterms:modified>
</cp:coreProperties>
</file>